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1E" w:rsidRPr="002913D0" w:rsidRDefault="002913D0" w:rsidP="009D271E">
      <w:pPr>
        <w:jc w:val="right"/>
        <w:rPr>
          <w:rFonts w:asciiTheme="majorHAnsi" w:hAnsiTheme="majorHAnsi"/>
          <w:i/>
          <w:noProof/>
          <w:kern w:val="22"/>
        </w:rPr>
      </w:pPr>
      <w:bookmarkStart w:id="0" w:name="_GoBack"/>
      <w:bookmarkEnd w:id="0"/>
      <w:r w:rsidRPr="002913D0">
        <w:rPr>
          <w:rFonts w:asciiTheme="majorHAnsi" w:hAnsiTheme="majorHAnsi"/>
          <w:i/>
        </w:rPr>
        <w:t xml:space="preserve">Pedro de </w:t>
      </w:r>
      <w:proofErr w:type="spellStart"/>
      <w:r w:rsidRPr="002913D0">
        <w:rPr>
          <w:rFonts w:asciiTheme="majorHAnsi" w:hAnsiTheme="majorHAnsi"/>
          <w:i/>
        </w:rPr>
        <w:t>Araujo</w:t>
      </w:r>
      <w:proofErr w:type="spellEnd"/>
      <w:r w:rsidRPr="002913D0">
        <w:rPr>
          <w:rFonts w:asciiTheme="majorHAnsi" w:hAnsiTheme="majorHAnsi"/>
          <w:i/>
        </w:rPr>
        <w:t xml:space="preserve"> Lima </w:t>
      </w:r>
      <w:proofErr w:type="spellStart"/>
      <w:r w:rsidRPr="002913D0">
        <w:rPr>
          <w:rFonts w:asciiTheme="majorHAnsi" w:hAnsiTheme="majorHAnsi"/>
          <w:i/>
        </w:rPr>
        <w:t>Constantino</w:t>
      </w:r>
      <w:proofErr w:type="spellEnd"/>
      <w:r w:rsidRPr="002913D0">
        <w:rPr>
          <w:rFonts w:asciiTheme="majorHAnsi" w:hAnsiTheme="majorHAnsi"/>
          <w:i/>
          <w:noProof/>
          <w:kern w:val="22"/>
        </w:rPr>
        <w:t xml:space="preserve"> </w:t>
      </w:r>
      <w:r w:rsidR="005807D5" w:rsidRPr="002913D0">
        <w:rPr>
          <w:rFonts w:asciiTheme="majorHAnsi" w:hAnsiTheme="majorHAnsi"/>
          <w:i/>
          <w:noProof/>
          <w:kern w:val="22"/>
        </w:rPr>
        <w:t>150521</w:t>
      </w:r>
    </w:p>
    <w:p w:rsidR="005807D5" w:rsidRDefault="005807D5" w:rsidP="009D271E">
      <w:pPr>
        <w:jc w:val="right"/>
        <w:rPr>
          <w:rFonts w:ascii="Times" w:hAnsi="Times"/>
          <w:b/>
          <w:noProof/>
          <w:kern w:val="22"/>
        </w:rPr>
      </w:pPr>
    </w:p>
    <w:p w:rsidR="008F324C" w:rsidRPr="008F324C" w:rsidRDefault="008F324C">
      <w:pPr>
        <w:rPr>
          <w:b/>
        </w:rPr>
      </w:pPr>
      <w:r>
        <w:rPr>
          <w:rFonts w:ascii="Times" w:hAnsi="Times"/>
          <w:b/>
          <w:noProof/>
          <w:kern w:val="22"/>
        </w:rPr>
        <w:t>S</w:t>
      </w:r>
      <w:r w:rsidRPr="008F324C">
        <w:rPr>
          <w:rFonts w:ascii="Times" w:hAnsi="Times"/>
          <w:b/>
          <w:noProof/>
          <w:kern w:val="22"/>
        </w:rPr>
        <w:t xml:space="preserve">caling up local community-based monitoring and incorporating </w:t>
      </w:r>
      <w:r w:rsidR="0084172F">
        <w:rPr>
          <w:rFonts w:ascii="Times" w:hAnsi="Times"/>
          <w:b/>
          <w:noProof/>
          <w:kern w:val="22"/>
        </w:rPr>
        <w:t>into</w:t>
      </w:r>
      <w:r w:rsidRPr="008F324C">
        <w:rPr>
          <w:rFonts w:ascii="Times" w:hAnsi="Times"/>
          <w:b/>
          <w:noProof/>
          <w:kern w:val="22"/>
        </w:rPr>
        <w:t xml:space="preserve"> national management programs</w:t>
      </w:r>
    </w:p>
    <w:p w:rsidR="008F324C" w:rsidRDefault="008F324C">
      <w:r>
        <w:t>Pedro de Araujo Lima Constantino, Participatory Monitoring and Management Partnership (PMMP)</w:t>
      </w:r>
    </w:p>
    <w:p w:rsidR="00643527" w:rsidRDefault="008F324C">
      <w:r>
        <w:t>All around the globe, human societies are looking for increasing their knowledge on b</w:t>
      </w:r>
      <w:r w:rsidR="00BA2817">
        <w:t>iodiversity</w:t>
      </w:r>
      <w:r>
        <w:t xml:space="preserve">. </w:t>
      </w:r>
      <w:r w:rsidR="00643527">
        <w:t xml:space="preserve">Beyond that, people at </w:t>
      </w:r>
      <w:r>
        <w:t xml:space="preserve">different scales, from local communities to international </w:t>
      </w:r>
      <w:r w:rsidR="009116C8">
        <w:t>fora</w:t>
      </w:r>
      <w:r>
        <w:t>, agree</w:t>
      </w:r>
      <w:r w:rsidR="0034054C">
        <w:t xml:space="preserve"> </w:t>
      </w:r>
      <w:r w:rsidR="00643527">
        <w:t xml:space="preserve">on the need to </w:t>
      </w:r>
      <w:r w:rsidR="0034054C">
        <w:t xml:space="preserve">continuously </w:t>
      </w:r>
      <w:r w:rsidR="00643527">
        <w:t xml:space="preserve">make biodiversity information available </w:t>
      </w:r>
      <w:r w:rsidR="00CF3F34">
        <w:t>as a base for</w:t>
      </w:r>
      <w:r w:rsidR="00643527">
        <w:t xml:space="preserve"> evaluate and improve their capacities</w:t>
      </w:r>
      <w:r w:rsidR="009116C8">
        <w:t xml:space="preserve"> to conserve and manage </w:t>
      </w:r>
      <w:r w:rsidR="00104909">
        <w:t>biodiversity</w:t>
      </w:r>
      <w:r w:rsidR="00C97253">
        <w:t xml:space="preserve"> sustainably</w:t>
      </w:r>
      <w:r w:rsidR="009116C8">
        <w:t>.</w:t>
      </w:r>
    </w:p>
    <w:p w:rsidR="00BA2817" w:rsidRDefault="00643527">
      <w:r>
        <w:t xml:space="preserve">Worldwide, </w:t>
      </w:r>
      <w:r w:rsidR="00F11F88">
        <w:t xml:space="preserve">indigenous peoples and local communities, practitioners, </w:t>
      </w:r>
      <w:proofErr w:type="gramStart"/>
      <w:r w:rsidR="00F11F88">
        <w:t>citizens</w:t>
      </w:r>
      <w:proofErr w:type="gramEnd"/>
      <w:r w:rsidR="00F11F88">
        <w:t xml:space="preserve"> scientists, and other holders of knowledge outside the academic sphere </w:t>
      </w:r>
      <w:r>
        <w:t>are</w:t>
      </w:r>
      <w:r w:rsidR="00CF3F34">
        <w:t xml:space="preserve"> </w:t>
      </w:r>
      <w:r>
        <w:t>involved in efforts to monitor biodiversity and natural resources. Local and indigenous communities ar</w:t>
      </w:r>
      <w:r w:rsidR="00F11F88">
        <w:t xml:space="preserve">e increasingly participating in </w:t>
      </w:r>
      <w:r w:rsidR="005629BD">
        <w:t xml:space="preserve">and initiating their own </w:t>
      </w:r>
      <w:r w:rsidR="00F11F88">
        <w:t>monitoring schemes</w:t>
      </w:r>
      <w:r>
        <w:t>, particularly in regions where considerable portions of population live in rural forest areas with high biodiversity</w:t>
      </w:r>
      <w:r w:rsidR="00C31E93">
        <w:t xml:space="preserve"> (Danielsen et al. 2010a)</w:t>
      </w:r>
      <w:r>
        <w:t>.</w:t>
      </w:r>
      <w:r w:rsidR="00B5245B">
        <w:t xml:space="preserve"> </w:t>
      </w:r>
      <w:r w:rsidR="00F11F88">
        <w:t>It is widely recognized that</w:t>
      </w:r>
      <w:r w:rsidR="005963D2">
        <w:t>,</w:t>
      </w:r>
      <w:r w:rsidR="00BC3B1A">
        <w:t xml:space="preserve"> </w:t>
      </w:r>
      <w:r w:rsidR="005963D2">
        <w:t>indigenous people</w:t>
      </w:r>
      <w:r w:rsidR="00BC3B1A">
        <w:t>s and local communities</w:t>
      </w:r>
      <w:r w:rsidR="005963D2">
        <w:t xml:space="preserve"> can participate in various ways, contributing at different monitoring stages (Danielsen et al. 2009), which can consequently result in local empowerment (Constantino et al 2012</w:t>
      </w:r>
      <w:r w:rsidR="005D0914">
        <w:t>a</w:t>
      </w:r>
      <w:r w:rsidR="005963D2">
        <w:t>).</w:t>
      </w:r>
    </w:p>
    <w:p w:rsidR="00BA2817" w:rsidRDefault="00B5245B">
      <w:r>
        <w:t xml:space="preserve">Communities are more often involved in monitoring initiatives that are designed to answer local needs, participating in several of their phases. As more initiatives scale up, the roles of communities tend to diminish. As a result, local monitoring has higher chances </w:t>
      </w:r>
      <w:r w:rsidR="00BC3B1A">
        <w:t>to have impact on</w:t>
      </w:r>
      <w:r>
        <w:t xml:space="preserve"> local management and </w:t>
      </w:r>
      <w:r w:rsidR="00CF3F34">
        <w:t xml:space="preserve">to </w:t>
      </w:r>
      <w:r>
        <w:t xml:space="preserve">support local </w:t>
      </w:r>
      <w:proofErr w:type="gramStart"/>
      <w:r>
        <w:t>decision</w:t>
      </w:r>
      <w:r w:rsidR="00F11F88">
        <w:t xml:space="preserve"> </w:t>
      </w:r>
      <w:r w:rsidR="00CF3F34">
        <w:t>making</w:t>
      </w:r>
      <w:proofErr w:type="gramEnd"/>
      <w:r w:rsidR="00CF3F34">
        <w:t xml:space="preserve"> and governance</w:t>
      </w:r>
      <w:r>
        <w:t xml:space="preserve"> than at lar</w:t>
      </w:r>
      <w:r w:rsidR="00C31E93">
        <w:t>ger scales (Danielsen et al. 2010b</w:t>
      </w:r>
      <w:r>
        <w:t>).</w:t>
      </w:r>
    </w:p>
    <w:p w:rsidR="00145AED" w:rsidRDefault="00145AED">
      <w:r>
        <w:t xml:space="preserve">Currently, one of the main challenges of participatory community-based monitoring </w:t>
      </w:r>
      <w:r w:rsidR="00CF3F34">
        <w:t xml:space="preserve">thus </w:t>
      </w:r>
      <w:r w:rsidR="002E6943">
        <w:t xml:space="preserve">is the recognition and adoption </w:t>
      </w:r>
      <w:r w:rsidR="00BC3B1A">
        <w:t xml:space="preserve">of this </w:t>
      </w:r>
      <w:r w:rsidR="00CF3F34">
        <w:t>approach to</w:t>
      </w:r>
      <w:r w:rsidR="002E6943">
        <w:t xml:space="preserve"> biodiversity monitoring</w:t>
      </w:r>
      <w:r w:rsidR="00CF3F34">
        <w:t xml:space="preserve">, as well as </w:t>
      </w:r>
      <w:r w:rsidR="002E6943">
        <w:t xml:space="preserve">the use of </w:t>
      </w:r>
      <w:r w:rsidR="00BC3B1A">
        <w:t xml:space="preserve">the generated </w:t>
      </w:r>
      <w:r w:rsidR="002E6943">
        <w:t>information</w:t>
      </w:r>
      <w:r w:rsidR="00BC3B1A">
        <w:t xml:space="preserve"> and analysis </w:t>
      </w:r>
      <w:r w:rsidR="002E6943">
        <w:t>at larger scales.</w:t>
      </w:r>
    </w:p>
    <w:p w:rsidR="00BC34D8" w:rsidRDefault="007B0476" w:rsidP="00542560">
      <w:r>
        <w:t xml:space="preserve">Based on my experience, </w:t>
      </w:r>
      <w:r w:rsidR="00542560">
        <w:t>I am going to present two cases of participatory community-based biodiversity monitoring that exemplify the chall</w:t>
      </w:r>
      <w:r w:rsidR="00F67501">
        <w:t>enges and solutions to scaling</w:t>
      </w:r>
      <w:r w:rsidR="00542560">
        <w:t>-up</w:t>
      </w:r>
      <w:r w:rsidR="00F67501">
        <w:t xml:space="preserve"> and incorporating into national managing programs</w:t>
      </w:r>
      <w:r w:rsidR="00542560">
        <w:t>.</w:t>
      </w:r>
    </w:p>
    <w:p w:rsidR="00542560" w:rsidRDefault="009D271E" w:rsidP="00542560">
      <w:r>
        <w:t>In the indigenous territories</w:t>
      </w:r>
      <w:r w:rsidR="007B0476">
        <w:t xml:space="preserve"> of Acre state, in Brazilian Amazonia, several indigenous communities </w:t>
      </w:r>
      <w:r w:rsidR="00CF3F34">
        <w:t xml:space="preserve">are </w:t>
      </w:r>
      <w:r w:rsidR="007B0476">
        <w:t xml:space="preserve">engaged in the monitoring of natural resources use, </w:t>
      </w:r>
      <w:r w:rsidR="003B52BD">
        <w:t>especially</w:t>
      </w:r>
      <w:r w:rsidR="007B0476">
        <w:t xml:space="preserve"> game species, motivated and supported by collaboration </w:t>
      </w:r>
      <w:r w:rsidR="00BC3B1A">
        <w:t>with</w:t>
      </w:r>
      <w:r w:rsidR="007B0476">
        <w:t xml:space="preserve"> a regional and an international NGO. Based on more than 30 years </w:t>
      </w:r>
      <w:r w:rsidR="006C44F3">
        <w:t xml:space="preserve">of </w:t>
      </w:r>
      <w:r w:rsidR="008D4CE8">
        <w:t xml:space="preserve">experience </w:t>
      </w:r>
      <w:r w:rsidR="007B0476">
        <w:t>of the regional NGO, the indigenous people</w:t>
      </w:r>
      <w:r w:rsidR="008D4CE8">
        <w:t>s</w:t>
      </w:r>
      <w:r w:rsidR="007B0476">
        <w:t xml:space="preserve"> participated </w:t>
      </w:r>
      <w:r w:rsidR="00A740EB">
        <w:t xml:space="preserve">intensively </w:t>
      </w:r>
      <w:r w:rsidR="007B0476">
        <w:t xml:space="preserve">in all stages of the monitoring initiative that was designed to answer the indigenous needs. </w:t>
      </w:r>
      <w:r w:rsidR="006C44F3">
        <w:t>At that point, the</w:t>
      </w:r>
      <w:r w:rsidR="00982860">
        <w:t xml:space="preserve"> indigenous peoples</w:t>
      </w:r>
      <w:r w:rsidR="006C44F3">
        <w:t xml:space="preserve"> were concerned on the decline in the availability of some natural resources that are key to their societies. Gam</w:t>
      </w:r>
      <w:r w:rsidR="00405FBA">
        <w:t>e species</w:t>
      </w:r>
      <w:r w:rsidR="006C44F3">
        <w:t xml:space="preserve"> </w:t>
      </w:r>
      <w:r w:rsidR="00405FBA">
        <w:t xml:space="preserve">that provide meat and structure social relations, </w:t>
      </w:r>
      <w:r w:rsidR="006C44F3">
        <w:t>palm trees</w:t>
      </w:r>
      <w:r w:rsidR="00405FBA">
        <w:t xml:space="preserve"> that provide leaves for thatch</w:t>
      </w:r>
      <w:r w:rsidR="006C44F3">
        <w:t xml:space="preserve"> and </w:t>
      </w:r>
      <w:r w:rsidR="00405FBA">
        <w:t>wood for floor</w:t>
      </w:r>
      <w:r w:rsidR="00982860">
        <w:t>s</w:t>
      </w:r>
      <w:r w:rsidR="00405FBA">
        <w:t xml:space="preserve"> and walls of their houses, and </w:t>
      </w:r>
      <w:r w:rsidR="006C44F3">
        <w:t>timber</w:t>
      </w:r>
      <w:r w:rsidR="00405FBA">
        <w:t xml:space="preserve"> for boats, fuel, and some local trade</w:t>
      </w:r>
      <w:r w:rsidR="006C44F3">
        <w:t xml:space="preserve">. </w:t>
      </w:r>
      <w:r w:rsidR="00622D78">
        <w:t xml:space="preserve">Scientists have collaborated </w:t>
      </w:r>
      <w:r w:rsidR="00803188">
        <w:t xml:space="preserve">with knowledge holders to </w:t>
      </w:r>
      <w:r w:rsidR="00622D78">
        <w:t xml:space="preserve">develop instruments to translate the knowledge, needs </w:t>
      </w:r>
      <w:r w:rsidR="00622D78">
        <w:lastRenderedPageBreak/>
        <w:t xml:space="preserve">and information produced by the indigenous </w:t>
      </w:r>
      <w:r w:rsidR="00CF3F34">
        <w:t xml:space="preserve">peoples </w:t>
      </w:r>
      <w:r w:rsidR="00622D78">
        <w:t xml:space="preserve">to a language that outsiders could recognize and understand. </w:t>
      </w:r>
      <w:r w:rsidR="00405FBA">
        <w:t>As the</w:t>
      </w:r>
      <w:r>
        <w:t xml:space="preserve"> indigenous peoples</w:t>
      </w:r>
      <w:r w:rsidR="00405FBA">
        <w:t xml:space="preserve"> understood, part of the decline was due to the relationship they ha</w:t>
      </w:r>
      <w:r>
        <w:t>d</w:t>
      </w:r>
      <w:r w:rsidR="00405FBA">
        <w:t xml:space="preserve"> established with the national society. Hence, changing that trend would require dialogue. </w:t>
      </w:r>
      <w:r w:rsidR="00F33958">
        <w:t xml:space="preserve">Although institutions at larger scales would benefit of having this kind of information available, there was no initial intention to scale-up. </w:t>
      </w:r>
      <w:r w:rsidR="00A740EB">
        <w:t>After 7 years, the initiative create</w:t>
      </w:r>
      <w:r w:rsidR="00803188">
        <w:t>d</w:t>
      </w:r>
      <w:r w:rsidR="00A740EB">
        <w:t xml:space="preserve"> local capacit</w:t>
      </w:r>
      <w:r w:rsidR="00803188">
        <w:t>y and</w:t>
      </w:r>
      <w:r w:rsidR="00A740EB">
        <w:t xml:space="preserve"> empowered the indigenous communities</w:t>
      </w:r>
      <w:r w:rsidR="00803188">
        <w:t>,</w:t>
      </w:r>
      <w:r w:rsidR="00A740EB">
        <w:t xml:space="preserve"> but </w:t>
      </w:r>
      <w:r w:rsidR="00803188">
        <w:t xml:space="preserve">the use of </w:t>
      </w:r>
      <w:r w:rsidR="00A740EB">
        <w:t xml:space="preserve">information use was </w:t>
      </w:r>
      <w:r w:rsidR="00803188">
        <w:t xml:space="preserve">limited to their </w:t>
      </w:r>
      <w:r w:rsidR="00A740EB">
        <w:t>local</w:t>
      </w:r>
      <w:r w:rsidR="00803188">
        <w:t xml:space="preserve"> area</w:t>
      </w:r>
      <w:r w:rsidR="00A740EB">
        <w:t xml:space="preserve">. There was </w:t>
      </w:r>
      <w:r w:rsidR="00A179A3">
        <w:t>no</w:t>
      </w:r>
      <w:r w:rsidR="00A740EB">
        <w:t xml:space="preserve"> involvement of </w:t>
      </w:r>
      <w:r w:rsidR="00590D6F">
        <w:t>the state or federal government</w:t>
      </w:r>
      <w:r w:rsidR="00803188">
        <w:t>,</w:t>
      </w:r>
      <w:r w:rsidR="00A740EB">
        <w:t xml:space="preserve"> </w:t>
      </w:r>
      <w:r w:rsidR="00A179A3">
        <w:t xml:space="preserve">and the NGOs decided to move to a satellite based monitoring. </w:t>
      </w:r>
      <w:r w:rsidR="000E5696">
        <w:t>Despite the distribution of some reports and publication of papers in scientific journals</w:t>
      </w:r>
      <w:r w:rsidR="00757EC0">
        <w:t xml:space="preserve"> (Constantino et al. 2008, 2012</w:t>
      </w:r>
      <w:r w:rsidR="00EE6DBE">
        <w:t>a</w:t>
      </w:r>
      <w:r w:rsidR="00757EC0">
        <w:t>,</w:t>
      </w:r>
      <w:r w:rsidR="00EE6DBE">
        <w:t>b,</w:t>
      </w:r>
      <w:r w:rsidR="00757EC0">
        <w:t xml:space="preserve"> Constantino 2010, 2015)</w:t>
      </w:r>
      <w:r w:rsidR="000E5696">
        <w:t xml:space="preserve"> the natural resource monitoring continued only in few villages where communities were using the information. </w:t>
      </w:r>
    </w:p>
    <w:p w:rsidR="000B5118" w:rsidRDefault="00803188" w:rsidP="00BC34D8">
      <w:r>
        <w:t>T</w:t>
      </w:r>
      <w:r w:rsidR="00DB039B">
        <w:t>he lessons learned in developing this initiative of participatory community-based monitoring w</w:t>
      </w:r>
      <w:r w:rsidR="00DF1E17">
        <w:t>ere</w:t>
      </w:r>
      <w:r w:rsidR="00DB039B">
        <w:t xml:space="preserve"> extremely relevant and influenced the design of the Brazilian National Program for Biodiversity Monitoring</w:t>
      </w:r>
      <w:r w:rsidR="00F803CA">
        <w:t xml:space="preserve"> (Pereira et al. 2013)</w:t>
      </w:r>
      <w:r w:rsidR="00DB039B">
        <w:t>.</w:t>
      </w:r>
      <w:r w:rsidR="00A6676B">
        <w:t xml:space="preserve"> </w:t>
      </w:r>
      <w:r w:rsidR="00F803C0">
        <w:t xml:space="preserve">Different from the initiative developed in indigenous lands where government has </w:t>
      </w:r>
      <w:r w:rsidR="00200587">
        <w:t xml:space="preserve">a </w:t>
      </w:r>
      <w:r w:rsidR="00F803C0">
        <w:t>very limited role</w:t>
      </w:r>
      <w:r w:rsidR="00200587">
        <w:t xml:space="preserve"> in management</w:t>
      </w:r>
      <w:r w:rsidR="00F803C0">
        <w:t>, the federal government led the monitoring in protected areas for biodiversity conservation</w:t>
      </w:r>
      <w:r w:rsidR="003A0292">
        <w:rPr>
          <w:rStyle w:val="Fotnotsreferens"/>
        </w:rPr>
        <w:footnoteReference w:id="1"/>
      </w:r>
      <w:r w:rsidR="00F803C0">
        <w:t xml:space="preserve">. </w:t>
      </w:r>
      <w:r w:rsidR="00A6676B">
        <w:t xml:space="preserve">In 2012, the Ministry of Environment and the national agency for biodiversity conservation and protected areas, ICMBio, in cooperation with the German agency for international technical cooperation started to develop a monitoring program that operates at two frontlines. </w:t>
      </w:r>
      <w:r w:rsidR="00325F99">
        <w:t xml:space="preserve">First, ICMBio created a </w:t>
      </w:r>
      <w:r w:rsidR="004C3C58">
        <w:t xml:space="preserve">monitoring scheme </w:t>
      </w:r>
      <w:r w:rsidR="00325F99">
        <w:t xml:space="preserve">to provide </w:t>
      </w:r>
      <w:r w:rsidR="004C3C58">
        <w:t xml:space="preserve">continuous and systematic </w:t>
      </w:r>
      <w:r w:rsidR="00325F99">
        <w:t xml:space="preserve">information on the effectiveness of biodiversity conservation of the national system of protected area. Local communities </w:t>
      </w:r>
      <w:r w:rsidR="00B83440">
        <w:t>did</w:t>
      </w:r>
      <w:r w:rsidR="002E4BFC">
        <w:t xml:space="preserve"> not participated in the design, but contribute in data collection.</w:t>
      </w:r>
      <w:r w:rsidR="004C3C58">
        <w:t xml:space="preserve"> </w:t>
      </w:r>
      <w:r w:rsidR="00841554">
        <w:t xml:space="preserve">Engagement in the monitoring is volunteer and communities select candidates to participate in the capacity-building upon a list of criteria. </w:t>
      </w:r>
      <w:r w:rsidR="004C3C58">
        <w:t xml:space="preserve">The information produced from data </w:t>
      </w:r>
      <w:r w:rsidR="0064029A">
        <w:t xml:space="preserve">also </w:t>
      </w:r>
      <w:r w:rsidR="004C3C58">
        <w:t xml:space="preserve">collected by communities flow from each protected area to the national office. </w:t>
      </w:r>
    </w:p>
    <w:p w:rsidR="00BC34D8" w:rsidRDefault="004C3C58" w:rsidP="00BC34D8">
      <w:r>
        <w:t xml:space="preserve">In parallel, the government wants to support </w:t>
      </w:r>
      <w:r w:rsidR="0064029A">
        <w:t>the local management of biodiversity</w:t>
      </w:r>
      <w:r w:rsidR="006C44F3">
        <w:t xml:space="preserve"> and improve community governance of protected areas</w:t>
      </w:r>
      <w:r w:rsidR="0064029A">
        <w:t xml:space="preserve">. Hence, it has promoted a complementary monitoring oriented </w:t>
      </w:r>
      <w:r w:rsidR="00B83440">
        <w:t>towards</w:t>
      </w:r>
      <w:r w:rsidR="0064029A">
        <w:t xml:space="preserve"> </w:t>
      </w:r>
      <w:proofErr w:type="gramStart"/>
      <w:r w:rsidR="0064029A">
        <w:t>locally-based</w:t>
      </w:r>
      <w:proofErr w:type="gramEnd"/>
      <w:r w:rsidR="0064029A">
        <w:t xml:space="preserve"> issues. Communities living </w:t>
      </w:r>
      <w:r w:rsidR="00841554">
        <w:t xml:space="preserve">inside or </w:t>
      </w:r>
      <w:r w:rsidR="00B83440">
        <w:t xml:space="preserve">near protected areas </w:t>
      </w:r>
      <w:r w:rsidR="0064029A">
        <w:t xml:space="preserve">and using natural resources participate in all stages of this monitoring, from deciding the issued that guide monitoring targets to using the information to make decisions at the scale of the protected area. </w:t>
      </w:r>
      <w:r w:rsidR="00841554">
        <w:t xml:space="preserve"> Mostly, locals were interested in understanding how their consumption was affecting their production, commercial of </w:t>
      </w:r>
      <w:r w:rsidR="009D271E">
        <w:t xml:space="preserve">for subsistence, </w:t>
      </w:r>
      <w:r w:rsidR="00841554">
        <w:t xml:space="preserve">and the sustainability of their activities. For instance, communities and local government staff </w:t>
      </w:r>
      <w:r w:rsidR="009D271E">
        <w:t xml:space="preserve">of the </w:t>
      </w:r>
      <w:r w:rsidR="00841554">
        <w:t xml:space="preserve">first protected areas to adhere to the program decided to monitor the production and consumption of Brazil nut, aquatic </w:t>
      </w:r>
      <w:proofErr w:type="spellStart"/>
      <w:r w:rsidR="00841554">
        <w:t>quelonians</w:t>
      </w:r>
      <w:proofErr w:type="spellEnd"/>
      <w:r w:rsidR="00841554">
        <w:t xml:space="preserve">, game and certain fish species, as well as logging for subsistence and internal trade. </w:t>
      </w:r>
      <w:r w:rsidR="0064029A">
        <w:t xml:space="preserve">During this process, </w:t>
      </w:r>
      <w:r w:rsidR="00C446C9">
        <w:t>researchers and local staff contributed providing the scientific rigor need</w:t>
      </w:r>
      <w:r w:rsidR="00200587">
        <w:t>ed</w:t>
      </w:r>
      <w:r w:rsidR="00C446C9">
        <w:t xml:space="preserve"> to produce high quality information and recognizing the pertinence of local decisions. </w:t>
      </w:r>
      <w:r w:rsidR="000574E8">
        <w:t>As a result of this collaboration</w:t>
      </w:r>
      <w:r w:rsidR="00C446C9">
        <w:t xml:space="preserve">, the central office of ICMBio in creating a system in </w:t>
      </w:r>
      <w:r w:rsidR="00C446C9">
        <w:lastRenderedPageBreak/>
        <w:t xml:space="preserve">which this information will also be integrated to support decisions at </w:t>
      </w:r>
      <w:r w:rsidR="000B5118">
        <w:t>the regional and national level, beyond the expected local application.</w:t>
      </w:r>
    </w:p>
    <w:p w:rsidR="00794C76" w:rsidRDefault="00794C76" w:rsidP="00794C76">
      <w:r>
        <w:t>Interestingly, now that the federal government has established the national program for biodiversity monitoring, the agency for indigenous affairs, FUNAI, is interested in promoting the adoption of their participatory community-based approach and methodology across indigenous lands. As well as the state government of Acre is interested in applying it in the state protected areas. In a long feedback movement, the model developed in indigenous lands in Acre is probably going to return to the regional and scale-up.</w:t>
      </w:r>
    </w:p>
    <w:p w:rsidR="00C474BD" w:rsidRDefault="002102B2" w:rsidP="002102B2">
      <w:r>
        <w:t>Recently</w:t>
      </w:r>
      <w:r w:rsidR="00C474BD">
        <w:t xml:space="preserve">, </w:t>
      </w:r>
      <w:r>
        <w:t>observing the increased interest in community participation in biodiversity monitoring all over the world, some people are organizing</w:t>
      </w:r>
      <w:r w:rsidR="00C474BD">
        <w:t xml:space="preserve"> a network to promote t</w:t>
      </w:r>
      <w:r w:rsidR="00D906AE">
        <w:t xml:space="preserve">he participatory monitoring and </w:t>
      </w:r>
      <w:r w:rsidR="00C474BD">
        <w:t>management through several actions that put together community members.</w:t>
      </w:r>
      <w:r>
        <w:t xml:space="preserve"> The Participatory Monitoring and Management Partnership, PMMP, is under development and intends to put together the lessons learned, disseminate them and advocate for the participatory monitoring</w:t>
      </w:r>
      <w:r w:rsidR="00D906AE">
        <w:t xml:space="preserve"> with governments and decision-makers</w:t>
      </w:r>
      <w:r>
        <w:t>, while promoting knowledge interchanges among local communities and capacity-building</w:t>
      </w:r>
      <w:r w:rsidR="00F803CA">
        <w:t xml:space="preserve"> (</w:t>
      </w:r>
      <w:hyperlink r:id="rId9" w:history="1">
        <w:r w:rsidR="00F803CA" w:rsidRPr="00671122">
          <w:rPr>
            <w:rStyle w:val="Hyperlnk"/>
          </w:rPr>
          <w:t>www.pmmpartnership.com</w:t>
        </w:r>
      </w:hyperlink>
      <w:r w:rsidR="00F803CA">
        <w:t>).</w:t>
      </w:r>
    </w:p>
    <w:p w:rsidR="00C474BD" w:rsidRDefault="00452261" w:rsidP="00C474BD">
      <w:r>
        <w:t xml:space="preserve">As a first attempt </w:t>
      </w:r>
      <w:r w:rsidR="002102B2">
        <w:t xml:space="preserve">effort, </w:t>
      </w:r>
      <w:r>
        <w:t xml:space="preserve">the PMMP together with the participants of an international seminar held in 2014 </w:t>
      </w:r>
      <w:r w:rsidR="002102B2">
        <w:t>have</w:t>
      </w:r>
      <w:r>
        <w:t xml:space="preserve"> elaborated the Manaus Letter with recommendations for participatory monitoring of biodiversity</w:t>
      </w:r>
      <w:r w:rsidR="00F67501">
        <w:t xml:space="preserve"> (PMMP 2015)</w:t>
      </w:r>
      <w:r>
        <w:t>.</w:t>
      </w:r>
      <w:r w:rsidR="00E51C6C">
        <w:t xml:space="preserve"> One of the main issues debated during the seminar that resulted in several recommendations is the possibility and necessity to scale up both the model of participatory monitoring and the information produced.</w:t>
      </w:r>
    </w:p>
    <w:p w:rsidR="00C04BFF" w:rsidRDefault="00C04BFF" w:rsidP="00C04BFF">
      <w:r>
        <w:t xml:space="preserve">From these experiences, we could learn that collaborating with </w:t>
      </w:r>
      <w:r w:rsidR="005B7F49">
        <w:t xml:space="preserve">state or federal </w:t>
      </w:r>
      <w:proofErr w:type="gramStart"/>
      <w:r>
        <w:t>government</w:t>
      </w:r>
      <w:r w:rsidR="005B7F49">
        <w:t>s</w:t>
      </w:r>
      <w:r>
        <w:t>,</w:t>
      </w:r>
      <w:proofErr w:type="gramEnd"/>
      <w:r>
        <w:t xml:space="preserve"> might be crucial for the up scaling </w:t>
      </w:r>
      <w:r w:rsidR="005B7F49">
        <w:t xml:space="preserve">of </w:t>
      </w:r>
      <w:r>
        <w:t xml:space="preserve">the information produced in participatory community-based monitoring. Governments, in turn, might be more open to engage and support participatory monitoring if they recognize it as a trustful source of information and as a way to improve the management of protected areas. To achieve these, it might be important to consider a stakeholder that facilitates the understanding, the dialogue and the recognition of the two knowledge systems. In some cases, researchers and local staff can contribute in this role. </w:t>
      </w:r>
    </w:p>
    <w:p w:rsidR="00C04BFF" w:rsidRDefault="00C04BFF" w:rsidP="00C474BD"/>
    <w:p w:rsidR="00F67501" w:rsidRDefault="00F67501" w:rsidP="00C474BD">
      <w:r>
        <w:t>References</w:t>
      </w:r>
    </w:p>
    <w:p w:rsidR="00C31E93" w:rsidRPr="00C31E93" w:rsidRDefault="00C31E93" w:rsidP="00C31E93">
      <w:r w:rsidRPr="00C31E93">
        <w:t xml:space="preserve">Constantino, P.A.L. 2010. Disentangling deforestation and indigenous hunting effects on wildlife in Brazilian Amazonia. </w:t>
      </w:r>
      <w:proofErr w:type="gramStart"/>
      <w:r w:rsidRPr="00C31E93">
        <w:t>M.S. thesis, University of Florida, Gainesville, USA.</w:t>
      </w:r>
      <w:proofErr w:type="gramEnd"/>
    </w:p>
    <w:p w:rsidR="00C31E93" w:rsidRPr="00C31E93" w:rsidRDefault="00C31E93" w:rsidP="00C31E93">
      <w:r w:rsidRPr="00C31E93">
        <w:t>Constantino, P.A.L., L.B. Fortini, F.R.S. Kaxinawa, A.M. Kaxinawa, E.S. Kaxinawa, A.P. Kaxinawa, and L.S. Kaxinawa. 2008. Indigenous collaborative research for wildlife management in Amazonia: the case of the Kaxinawá, Acre, Brazil. Biological Conservation 141(11): 2718-2729.</w:t>
      </w:r>
    </w:p>
    <w:p w:rsidR="00C31E93" w:rsidRPr="00C31E93" w:rsidRDefault="00C31E93" w:rsidP="00C31E93">
      <w:r w:rsidRPr="009D271E">
        <w:rPr>
          <w:lang w:val="pt-BR"/>
        </w:rPr>
        <w:lastRenderedPageBreak/>
        <w:t xml:space="preserve">Constantino, P.A.L., H.S.A. Carlos, E.E. Ramalho, L. Rostant, C.E. Marinelli, D. Teles, and S.F. Fonseca Jr. 2012a. </w:t>
      </w:r>
      <w:r w:rsidRPr="00C31E93">
        <w:t xml:space="preserve">Empowering local people through community-based resource monitoring: a comparison between Brazil and Namibia. </w:t>
      </w:r>
      <w:proofErr w:type="gramStart"/>
      <w:r w:rsidRPr="00C31E93">
        <w:t>Ecology and Society 17(4).</w:t>
      </w:r>
      <w:proofErr w:type="gramEnd"/>
    </w:p>
    <w:p w:rsidR="00C31E93" w:rsidRPr="008C32ED" w:rsidRDefault="00C31E93" w:rsidP="00C31E93">
      <w:pPr>
        <w:rPr>
          <w:lang w:val="pt-BR"/>
        </w:rPr>
      </w:pPr>
      <w:r w:rsidRPr="00C31E93">
        <w:t xml:space="preserve">Constantino, P.A.L., R.A. Tavares, J.L. Kaxinawa, F.M. </w:t>
      </w:r>
      <w:proofErr w:type="spellStart"/>
      <w:r w:rsidRPr="00C31E93">
        <w:t>Macário</w:t>
      </w:r>
      <w:proofErr w:type="spellEnd"/>
      <w:r w:rsidRPr="00C31E93">
        <w:t xml:space="preserve">, E. Kaxinawa, and A.S. Kaxinawa. </w:t>
      </w:r>
      <w:r w:rsidRPr="009D271E">
        <w:rPr>
          <w:lang w:val="pt-BR"/>
        </w:rPr>
        <w:t xml:space="preserve">2012b. Mapeamento e monitoramento </w:t>
      </w:r>
      <w:bookmarkStart w:id="1" w:name="OLE_LINK6"/>
      <w:bookmarkStart w:id="2" w:name="OLE_LINK7"/>
      <w:r w:rsidRPr="009D271E">
        <w:rPr>
          <w:lang w:val="pt-BR"/>
        </w:rPr>
        <w:t>participativo da caça na Kaxinawá da Praia do Carapanã Indigenous Land</w:t>
      </w:r>
      <w:bookmarkEnd w:id="1"/>
      <w:bookmarkEnd w:id="2"/>
      <w:r w:rsidRPr="009D271E">
        <w:rPr>
          <w:lang w:val="pt-BR"/>
        </w:rPr>
        <w:t xml:space="preserve">, Acre, Amazônia Brasileira. In: A. Paese, A. Uezu, M.L. Lorini, A. Cunha (Eds.), Sistema de informações geográficas e a conservação da biodiversidade. </w:t>
      </w:r>
      <w:r w:rsidRPr="008C32ED">
        <w:rPr>
          <w:lang w:val="pt-BR"/>
        </w:rPr>
        <w:t>Oficina do Texto, São Paulo, Brasil.</w:t>
      </w:r>
    </w:p>
    <w:p w:rsidR="008C32ED" w:rsidRPr="008C32ED" w:rsidRDefault="008C32ED" w:rsidP="00C31E93">
      <w:r w:rsidRPr="009D271E">
        <w:t xml:space="preserve">Constantino, P.A.L. 2015. </w:t>
      </w:r>
      <w:proofErr w:type="gramStart"/>
      <w:r w:rsidRPr="008C32ED">
        <w:t xml:space="preserve">Dynamics of hunting territories and prey </w:t>
      </w:r>
      <w:r w:rsidR="009E19D6">
        <w:t xml:space="preserve">distribution </w:t>
      </w:r>
      <w:r w:rsidRPr="008C32ED">
        <w:t>in</w:t>
      </w:r>
      <w:r>
        <w:t xml:space="preserve"> Amazonian indigenous lands.</w:t>
      </w:r>
      <w:proofErr w:type="gramEnd"/>
      <w:r>
        <w:t xml:space="preserve"> Applied Geography </w:t>
      </w:r>
      <w:r w:rsidR="009E19D6">
        <w:t>56: 222-231.</w:t>
      </w:r>
    </w:p>
    <w:p w:rsidR="00C31E93" w:rsidRPr="00C31E93" w:rsidRDefault="00C31E93" w:rsidP="00C31E93">
      <w:r w:rsidRPr="009D271E">
        <w:t>Danielsen, F., N.D. Burgess, A. Balmford, P.F. Donald, M. Funder, J.P.G. Jones, P. Alviola, D.S. Bale</w:t>
      </w:r>
      <w:r w:rsidRPr="00C31E93">
        <w:t>te, T. Blomley, J. Brashares, B. Child, M. Enghoff, J. Fjeldså, S. Holt, H. Hübertz, A.E. Jensen, P.M. Jensen, J. Massao, M.M. Mendoza, Y. Ngaga, M.K. Poulsen, R. Rueda, M. Sam, T. Skielboe, G. Stuart-Hill, E. Topp-Jørgensen, and D. Yonten. 2009. Local participation in natural resource monitoring: a characterization of approaches. Conservation Biology 23 (1):31-42.</w:t>
      </w:r>
    </w:p>
    <w:p w:rsidR="00F16938" w:rsidRDefault="00F16938" w:rsidP="00C31E93">
      <w:r w:rsidRPr="00C31E93">
        <w:t>Danielsen, F., N. Burgess, M. Funder, T. Blomley, J. Brashares, A. Akida, A. Jensen, M. Mendoza, G. Stuart-Hill, M.K. Poulsen, H. Ramadhani, M.K. S</w:t>
      </w:r>
      <w:r>
        <w:t xml:space="preserve">am, and E. </w:t>
      </w:r>
      <w:proofErr w:type="spellStart"/>
      <w:r>
        <w:t>Topp-Jørgensen</w:t>
      </w:r>
      <w:proofErr w:type="spellEnd"/>
      <w:r>
        <w:t>. 2010a</w:t>
      </w:r>
      <w:r w:rsidRPr="00C31E93">
        <w:t xml:space="preserve">. Taking stock of nature in species-rich but economically poor areas: an emerging discipline of locally based monitoring. Pages 89-112 in A. Lawrence (Ed.) Taking stock of nature: participatory biodiversity assessment for policy, planning and practice. </w:t>
      </w:r>
      <w:proofErr w:type="gramStart"/>
      <w:r w:rsidRPr="00C31E93">
        <w:t>Cambridge University Press, Cambridge, UK.</w:t>
      </w:r>
      <w:proofErr w:type="gramEnd"/>
    </w:p>
    <w:p w:rsidR="00C31E93" w:rsidRDefault="00C31E93" w:rsidP="00C31E93">
      <w:proofErr w:type="gramStart"/>
      <w:r w:rsidRPr="00C31E93">
        <w:t>Danielsen, F., N.D. Burgess, P.M. Jensen, and</w:t>
      </w:r>
      <w:r w:rsidR="00F16938">
        <w:t xml:space="preserve"> K. Pirhofer-Walzl.</w:t>
      </w:r>
      <w:proofErr w:type="gramEnd"/>
      <w:r w:rsidR="00F16938">
        <w:t xml:space="preserve"> 2010b</w:t>
      </w:r>
      <w:r w:rsidRPr="00C31E93">
        <w:t>. Environmental monitoring: the scale and speed of implementation varies according to the of people’s involvement. Journal of Applied Ecology 47: 1166-1168.</w:t>
      </w:r>
    </w:p>
    <w:p w:rsidR="00C31E93" w:rsidRDefault="003D0975" w:rsidP="003D0975">
      <w:r w:rsidRPr="009D271E">
        <w:t xml:space="preserve">Pereira, R.C., F.O. Roque, P.A.L. Constantino, </w:t>
      </w:r>
      <w:r w:rsidR="008433DF" w:rsidRPr="009D271E">
        <w:t xml:space="preserve">J. </w:t>
      </w:r>
      <w:r w:rsidRPr="009D271E">
        <w:t xml:space="preserve"> </w:t>
      </w:r>
      <w:r w:rsidRPr="003D0975">
        <w:rPr>
          <w:lang w:val="pt-BR"/>
        </w:rPr>
        <w:t>Sabino</w:t>
      </w:r>
      <w:r w:rsidR="008433DF">
        <w:rPr>
          <w:lang w:val="pt-BR"/>
        </w:rPr>
        <w:t xml:space="preserve"> and M. Uehara-Prado</w:t>
      </w:r>
      <w:r w:rsidRPr="003D0975">
        <w:rPr>
          <w:lang w:val="pt-BR"/>
        </w:rPr>
        <w:t xml:space="preserve">. 2013. </w:t>
      </w:r>
      <w:r w:rsidRPr="009D271E">
        <w:rPr>
          <w:lang w:val="pt-BR"/>
        </w:rPr>
        <w:t xml:space="preserve">Monitoramento in situ da biodiversidade: Proposta para um sistema brasileiro de monitoramento da biodiversidade. </w:t>
      </w:r>
      <w:r w:rsidRPr="003D0975">
        <w:t>Brasília – DF, ICMBio.</w:t>
      </w:r>
    </w:p>
    <w:sectPr w:rsidR="00C31E93" w:rsidSect="002663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1E" w:rsidRDefault="009D271E" w:rsidP="003A0292">
      <w:pPr>
        <w:spacing w:after="0" w:line="240" w:lineRule="auto"/>
      </w:pPr>
      <w:r>
        <w:separator/>
      </w:r>
    </w:p>
  </w:endnote>
  <w:endnote w:type="continuationSeparator" w:id="0">
    <w:p w:rsidR="009D271E" w:rsidRDefault="009D271E" w:rsidP="003A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1E" w:rsidRDefault="009D271E" w:rsidP="003A0292">
      <w:pPr>
        <w:spacing w:after="0" w:line="240" w:lineRule="auto"/>
      </w:pPr>
      <w:r>
        <w:separator/>
      </w:r>
    </w:p>
  </w:footnote>
  <w:footnote w:type="continuationSeparator" w:id="0">
    <w:p w:rsidR="009D271E" w:rsidRDefault="009D271E" w:rsidP="003A0292">
      <w:pPr>
        <w:spacing w:after="0" w:line="240" w:lineRule="auto"/>
      </w:pPr>
      <w:r>
        <w:continuationSeparator/>
      </w:r>
    </w:p>
  </w:footnote>
  <w:footnote w:id="1">
    <w:p w:rsidR="009D271E" w:rsidRDefault="009D271E">
      <w:pPr>
        <w:pStyle w:val="Fotnotstext"/>
      </w:pPr>
      <w:r>
        <w:rPr>
          <w:rStyle w:val="Fotnotsreferens"/>
        </w:rPr>
        <w:footnoteRef/>
      </w:r>
      <w:r>
        <w:t xml:space="preserve"> A clarification is needed here. In Brazil, indigenous lands are one category of protected area that is managed by the indigenous people with support of FUNAI in some aspects. This category is not part of the National System of Protected Areas (locally know as Conservation Units), which is composed by several categories that share the main purpose of biodiversity conservation and are managed by ICMBio. Local communities, traditional but mostly non-indigenous, have the rights to inhabit, use the natural resources and co-managing the protected areas in some of these categories. Nevertheless, there always has to be some sort of governmental participation.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BC2"/>
    <w:multiLevelType w:val="hybridMultilevel"/>
    <w:tmpl w:val="192C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6DD5"/>
    <w:multiLevelType w:val="multilevel"/>
    <w:tmpl w:val="A15E3D64"/>
    <w:lvl w:ilvl="0">
      <w:start w:val="1"/>
      <w:numFmt w:val="bullet"/>
      <w:pStyle w:val="Nomedaempresa"/>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AB47A1"/>
    <w:multiLevelType w:val="hybridMultilevel"/>
    <w:tmpl w:val="6BE2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B1671C"/>
    <w:multiLevelType w:val="hybridMultilevel"/>
    <w:tmpl w:val="E6F6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17"/>
    <w:rsid w:val="00024DD0"/>
    <w:rsid w:val="000574E8"/>
    <w:rsid w:val="000A6822"/>
    <w:rsid w:val="000B5118"/>
    <w:rsid w:val="000C3DB7"/>
    <w:rsid w:val="000C5972"/>
    <w:rsid w:val="000E5696"/>
    <w:rsid w:val="00104909"/>
    <w:rsid w:val="00145AED"/>
    <w:rsid w:val="00200587"/>
    <w:rsid w:val="002102B2"/>
    <w:rsid w:val="002663BC"/>
    <w:rsid w:val="002815CF"/>
    <w:rsid w:val="00285573"/>
    <w:rsid w:val="002913D0"/>
    <w:rsid w:val="002B05FC"/>
    <w:rsid w:val="002B2406"/>
    <w:rsid w:val="002E4BFC"/>
    <w:rsid w:val="002E6943"/>
    <w:rsid w:val="00325F99"/>
    <w:rsid w:val="0034054C"/>
    <w:rsid w:val="00363053"/>
    <w:rsid w:val="003A0292"/>
    <w:rsid w:val="003B52BD"/>
    <w:rsid w:val="003D0975"/>
    <w:rsid w:val="00405FBA"/>
    <w:rsid w:val="00452261"/>
    <w:rsid w:val="00471AFD"/>
    <w:rsid w:val="0048543A"/>
    <w:rsid w:val="004C3C58"/>
    <w:rsid w:val="00542560"/>
    <w:rsid w:val="005629BD"/>
    <w:rsid w:val="00564B97"/>
    <w:rsid w:val="005807D5"/>
    <w:rsid w:val="00590D6F"/>
    <w:rsid w:val="005963D2"/>
    <w:rsid w:val="005B7F49"/>
    <w:rsid w:val="005D0914"/>
    <w:rsid w:val="00617DB8"/>
    <w:rsid w:val="00622D78"/>
    <w:rsid w:val="0064029A"/>
    <w:rsid w:val="00643527"/>
    <w:rsid w:val="006C44F3"/>
    <w:rsid w:val="0074116B"/>
    <w:rsid w:val="00757EC0"/>
    <w:rsid w:val="00787039"/>
    <w:rsid w:val="00794C76"/>
    <w:rsid w:val="007A7E1F"/>
    <w:rsid w:val="007B0476"/>
    <w:rsid w:val="007F603C"/>
    <w:rsid w:val="00803188"/>
    <w:rsid w:val="00810190"/>
    <w:rsid w:val="00841554"/>
    <w:rsid w:val="0084172F"/>
    <w:rsid w:val="008433DF"/>
    <w:rsid w:val="00875514"/>
    <w:rsid w:val="008772F2"/>
    <w:rsid w:val="008A575E"/>
    <w:rsid w:val="008B5ACA"/>
    <w:rsid w:val="008C32ED"/>
    <w:rsid w:val="008D4CE8"/>
    <w:rsid w:val="008F324C"/>
    <w:rsid w:val="009116C8"/>
    <w:rsid w:val="00934357"/>
    <w:rsid w:val="00982860"/>
    <w:rsid w:val="009C3076"/>
    <w:rsid w:val="009D271E"/>
    <w:rsid w:val="009E19D6"/>
    <w:rsid w:val="00A179A3"/>
    <w:rsid w:val="00A24D2D"/>
    <w:rsid w:val="00A6676B"/>
    <w:rsid w:val="00A740EB"/>
    <w:rsid w:val="00B41D97"/>
    <w:rsid w:val="00B5245B"/>
    <w:rsid w:val="00B83440"/>
    <w:rsid w:val="00BA2817"/>
    <w:rsid w:val="00BC34D8"/>
    <w:rsid w:val="00BC3B1A"/>
    <w:rsid w:val="00C04BFF"/>
    <w:rsid w:val="00C06259"/>
    <w:rsid w:val="00C31E93"/>
    <w:rsid w:val="00C446C9"/>
    <w:rsid w:val="00C474BD"/>
    <w:rsid w:val="00C70B20"/>
    <w:rsid w:val="00C97253"/>
    <w:rsid w:val="00CA5336"/>
    <w:rsid w:val="00CF3F34"/>
    <w:rsid w:val="00D906AE"/>
    <w:rsid w:val="00D9598B"/>
    <w:rsid w:val="00DB039B"/>
    <w:rsid w:val="00DF1E17"/>
    <w:rsid w:val="00E102E1"/>
    <w:rsid w:val="00E51C6C"/>
    <w:rsid w:val="00E87064"/>
    <w:rsid w:val="00EE6DBE"/>
    <w:rsid w:val="00F11F88"/>
    <w:rsid w:val="00F13A1E"/>
    <w:rsid w:val="00F16938"/>
    <w:rsid w:val="00F33958"/>
    <w:rsid w:val="00F67501"/>
    <w:rsid w:val="00F76ABE"/>
    <w:rsid w:val="00F803C0"/>
    <w:rsid w:val="00F803CA"/>
    <w:rsid w:val="00FD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3BC"/>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C34D8"/>
    <w:pPr>
      <w:ind w:left="720"/>
      <w:contextualSpacing/>
    </w:pPr>
  </w:style>
  <w:style w:type="paragraph" w:styleId="Fotnotstext">
    <w:name w:val="footnote text"/>
    <w:basedOn w:val="Normal"/>
    <w:link w:val="FotnotstextChar"/>
    <w:uiPriority w:val="99"/>
    <w:unhideWhenUsed/>
    <w:rsid w:val="003A0292"/>
    <w:pPr>
      <w:spacing w:after="0" w:line="240" w:lineRule="auto"/>
    </w:pPr>
    <w:rPr>
      <w:sz w:val="20"/>
      <w:szCs w:val="20"/>
    </w:rPr>
  </w:style>
  <w:style w:type="character" w:customStyle="1" w:styleId="FotnotstextChar">
    <w:name w:val="Fotnotstext Char"/>
    <w:basedOn w:val="Standardstycketypsnitt"/>
    <w:link w:val="Fotnotstext"/>
    <w:uiPriority w:val="99"/>
    <w:rsid w:val="003A0292"/>
    <w:rPr>
      <w:sz w:val="20"/>
      <w:szCs w:val="20"/>
    </w:rPr>
  </w:style>
  <w:style w:type="character" w:styleId="Fotnotsreferens">
    <w:name w:val="footnote reference"/>
    <w:basedOn w:val="Standardstycketypsnitt"/>
    <w:uiPriority w:val="99"/>
    <w:semiHidden/>
    <w:unhideWhenUsed/>
    <w:rsid w:val="003A0292"/>
    <w:rPr>
      <w:vertAlign w:val="superscript"/>
    </w:rPr>
  </w:style>
  <w:style w:type="character" w:styleId="Hyperlnk">
    <w:name w:val="Hyperlink"/>
    <w:basedOn w:val="Standardstycketypsnitt"/>
    <w:uiPriority w:val="99"/>
    <w:unhideWhenUsed/>
    <w:rsid w:val="00F803CA"/>
    <w:rPr>
      <w:color w:val="0000FF" w:themeColor="hyperlink"/>
      <w:u w:val="single"/>
    </w:rPr>
  </w:style>
  <w:style w:type="paragraph" w:customStyle="1" w:styleId="Estilopadro">
    <w:name w:val="Estilo padrão"/>
    <w:rsid w:val="00C31E93"/>
    <w:pPr>
      <w:suppressAutoHyphens/>
      <w:overflowPunct w:val="0"/>
      <w:spacing w:after="160" w:line="254" w:lineRule="auto"/>
    </w:pPr>
    <w:rPr>
      <w:rFonts w:ascii="Calibri" w:eastAsia="SimSun" w:hAnsi="Calibri" w:cs="Calibri"/>
      <w:color w:val="00000A"/>
      <w:lang w:val="pt-BR"/>
    </w:rPr>
  </w:style>
  <w:style w:type="paragraph" w:customStyle="1" w:styleId="Nomedaempresa">
    <w:name w:val="Nome da empresa"/>
    <w:basedOn w:val="Estilopadro"/>
    <w:next w:val="Estilopadro"/>
    <w:rsid w:val="00C31E93"/>
    <w:pPr>
      <w:numPr>
        <w:numId w:val="4"/>
      </w:numPr>
      <w:tabs>
        <w:tab w:val="left" w:pos="900"/>
        <w:tab w:val="right" w:pos="6930"/>
      </w:tabs>
      <w:ind w:left="450" w:right="-68" w:firstLine="0"/>
      <w:jc w:val="both"/>
    </w:pPr>
  </w:style>
  <w:style w:type="character" w:styleId="Kommentarsreferens">
    <w:name w:val="annotation reference"/>
    <w:basedOn w:val="Standardstycketypsnitt"/>
    <w:uiPriority w:val="99"/>
    <w:semiHidden/>
    <w:unhideWhenUsed/>
    <w:rsid w:val="00BC3B1A"/>
    <w:rPr>
      <w:sz w:val="18"/>
      <w:szCs w:val="18"/>
    </w:rPr>
  </w:style>
  <w:style w:type="paragraph" w:styleId="Kommentarer">
    <w:name w:val="annotation text"/>
    <w:basedOn w:val="Normal"/>
    <w:link w:val="KommentarerChar"/>
    <w:uiPriority w:val="99"/>
    <w:semiHidden/>
    <w:unhideWhenUsed/>
    <w:rsid w:val="00BC3B1A"/>
    <w:pPr>
      <w:spacing w:line="240" w:lineRule="auto"/>
    </w:pPr>
    <w:rPr>
      <w:sz w:val="24"/>
      <w:szCs w:val="24"/>
    </w:rPr>
  </w:style>
  <w:style w:type="character" w:customStyle="1" w:styleId="KommentarerChar">
    <w:name w:val="Kommentarer Char"/>
    <w:basedOn w:val="Standardstycketypsnitt"/>
    <w:link w:val="Kommentarer"/>
    <w:uiPriority w:val="99"/>
    <w:semiHidden/>
    <w:rsid w:val="00BC3B1A"/>
    <w:rPr>
      <w:sz w:val="24"/>
      <w:szCs w:val="24"/>
    </w:rPr>
  </w:style>
  <w:style w:type="paragraph" w:styleId="Kommentarsmne">
    <w:name w:val="annotation subject"/>
    <w:basedOn w:val="Kommentarer"/>
    <w:next w:val="Kommentarer"/>
    <w:link w:val="KommentarsmneChar"/>
    <w:uiPriority w:val="99"/>
    <w:semiHidden/>
    <w:unhideWhenUsed/>
    <w:rsid w:val="00BC3B1A"/>
    <w:rPr>
      <w:b/>
      <w:bCs/>
      <w:sz w:val="20"/>
      <w:szCs w:val="20"/>
    </w:rPr>
  </w:style>
  <w:style w:type="character" w:customStyle="1" w:styleId="KommentarsmneChar">
    <w:name w:val="Kommentarsämne Char"/>
    <w:basedOn w:val="KommentarerChar"/>
    <w:link w:val="Kommentarsmne"/>
    <w:uiPriority w:val="99"/>
    <w:semiHidden/>
    <w:rsid w:val="00BC3B1A"/>
    <w:rPr>
      <w:b/>
      <w:bCs/>
      <w:sz w:val="20"/>
      <w:szCs w:val="20"/>
    </w:rPr>
  </w:style>
  <w:style w:type="paragraph" w:styleId="Bubbeltext">
    <w:name w:val="Balloon Text"/>
    <w:basedOn w:val="Normal"/>
    <w:link w:val="BubbeltextChar"/>
    <w:uiPriority w:val="99"/>
    <w:semiHidden/>
    <w:unhideWhenUsed/>
    <w:rsid w:val="00BC3B1A"/>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BC3B1A"/>
    <w:rPr>
      <w:rFonts w:ascii="Lucida Grande" w:hAnsi="Lucida Grande" w:cs="Lucida Grande"/>
      <w:sz w:val="18"/>
      <w:szCs w:val="18"/>
    </w:rPr>
  </w:style>
  <w:style w:type="paragraph" w:styleId="Revision">
    <w:name w:val="Revision"/>
    <w:hidden/>
    <w:uiPriority w:val="99"/>
    <w:semiHidden/>
    <w:rsid w:val="00CF3F34"/>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3BC"/>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C34D8"/>
    <w:pPr>
      <w:ind w:left="720"/>
      <w:contextualSpacing/>
    </w:pPr>
  </w:style>
  <w:style w:type="paragraph" w:styleId="Fotnotstext">
    <w:name w:val="footnote text"/>
    <w:basedOn w:val="Normal"/>
    <w:link w:val="FotnotstextChar"/>
    <w:uiPriority w:val="99"/>
    <w:unhideWhenUsed/>
    <w:rsid w:val="003A0292"/>
    <w:pPr>
      <w:spacing w:after="0" w:line="240" w:lineRule="auto"/>
    </w:pPr>
    <w:rPr>
      <w:sz w:val="20"/>
      <w:szCs w:val="20"/>
    </w:rPr>
  </w:style>
  <w:style w:type="character" w:customStyle="1" w:styleId="FotnotstextChar">
    <w:name w:val="Fotnotstext Char"/>
    <w:basedOn w:val="Standardstycketypsnitt"/>
    <w:link w:val="Fotnotstext"/>
    <w:uiPriority w:val="99"/>
    <w:rsid w:val="003A0292"/>
    <w:rPr>
      <w:sz w:val="20"/>
      <w:szCs w:val="20"/>
    </w:rPr>
  </w:style>
  <w:style w:type="character" w:styleId="Fotnotsreferens">
    <w:name w:val="footnote reference"/>
    <w:basedOn w:val="Standardstycketypsnitt"/>
    <w:uiPriority w:val="99"/>
    <w:semiHidden/>
    <w:unhideWhenUsed/>
    <w:rsid w:val="003A0292"/>
    <w:rPr>
      <w:vertAlign w:val="superscript"/>
    </w:rPr>
  </w:style>
  <w:style w:type="character" w:styleId="Hyperlnk">
    <w:name w:val="Hyperlink"/>
    <w:basedOn w:val="Standardstycketypsnitt"/>
    <w:uiPriority w:val="99"/>
    <w:unhideWhenUsed/>
    <w:rsid w:val="00F803CA"/>
    <w:rPr>
      <w:color w:val="0000FF" w:themeColor="hyperlink"/>
      <w:u w:val="single"/>
    </w:rPr>
  </w:style>
  <w:style w:type="paragraph" w:customStyle="1" w:styleId="Estilopadro">
    <w:name w:val="Estilo padrão"/>
    <w:rsid w:val="00C31E93"/>
    <w:pPr>
      <w:suppressAutoHyphens/>
      <w:overflowPunct w:val="0"/>
      <w:spacing w:after="160" w:line="254" w:lineRule="auto"/>
    </w:pPr>
    <w:rPr>
      <w:rFonts w:ascii="Calibri" w:eastAsia="SimSun" w:hAnsi="Calibri" w:cs="Calibri"/>
      <w:color w:val="00000A"/>
      <w:lang w:val="pt-BR"/>
    </w:rPr>
  </w:style>
  <w:style w:type="paragraph" w:customStyle="1" w:styleId="Nomedaempresa">
    <w:name w:val="Nome da empresa"/>
    <w:basedOn w:val="Estilopadro"/>
    <w:next w:val="Estilopadro"/>
    <w:rsid w:val="00C31E93"/>
    <w:pPr>
      <w:numPr>
        <w:numId w:val="4"/>
      </w:numPr>
      <w:tabs>
        <w:tab w:val="left" w:pos="900"/>
        <w:tab w:val="right" w:pos="6930"/>
      </w:tabs>
      <w:ind w:left="450" w:right="-68" w:firstLine="0"/>
      <w:jc w:val="both"/>
    </w:pPr>
  </w:style>
  <w:style w:type="character" w:styleId="Kommentarsreferens">
    <w:name w:val="annotation reference"/>
    <w:basedOn w:val="Standardstycketypsnitt"/>
    <w:uiPriority w:val="99"/>
    <w:semiHidden/>
    <w:unhideWhenUsed/>
    <w:rsid w:val="00BC3B1A"/>
    <w:rPr>
      <w:sz w:val="18"/>
      <w:szCs w:val="18"/>
    </w:rPr>
  </w:style>
  <w:style w:type="paragraph" w:styleId="Kommentarer">
    <w:name w:val="annotation text"/>
    <w:basedOn w:val="Normal"/>
    <w:link w:val="KommentarerChar"/>
    <w:uiPriority w:val="99"/>
    <w:semiHidden/>
    <w:unhideWhenUsed/>
    <w:rsid w:val="00BC3B1A"/>
    <w:pPr>
      <w:spacing w:line="240" w:lineRule="auto"/>
    </w:pPr>
    <w:rPr>
      <w:sz w:val="24"/>
      <w:szCs w:val="24"/>
    </w:rPr>
  </w:style>
  <w:style w:type="character" w:customStyle="1" w:styleId="KommentarerChar">
    <w:name w:val="Kommentarer Char"/>
    <w:basedOn w:val="Standardstycketypsnitt"/>
    <w:link w:val="Kommentarer"/>
    <w:uiPriority w:val="99"/>
    <w:semiHidden/>
    <w:rsid w:val="00BC3B1A"/>
    <w:rPr>
      <w:sz w:val="24"/>
      <w:szCs w:val="24"/>
    </w:rPr>
  </w:style>
  <w:style w:type="paragraph" w:styleId="Kommentarsmne">
    <w:name w:val="annotation subject"/>
    <w:basedOn w:val="Kommentarer"/>
    <w:next w:val="Kommentarer"/>
    <w:link w:val="KommentarsmneChar"/>
    <w:uiPriority w:val="99"/>
    <w:semiHidden/>
    <w:unhideWhenUsed/>
    <w:rsid w:val="00BC3B1A"/>
    <w:rPr>
      <w:b/>
      <w:bCs/>
      <w:sz w:val="20"/>
      <w:szCs w:val="20"/>
    </w:rPr>
  </w:style>
  <w:style w:type="character" w:customStyle="1" w:styleId="KommentarsmneChar">
    <w:name w:val="Kommentarsämne Char"/>
    <w:basedOn w:val="KommentarerChar"/>
    <w:link w:val="Kommentarsmne"/>
    <w:uiPriority w:val="99"/>
    <w:semiHidden/>
    <w:rsid w:val="00BC3B1A"/>
    <w:rPr>
      <w:b/>
      <w:bCs/>
      <w:sz w:val="20"/>
      <w:szCs w:val="20"/>
    </w:rPr>
  </w:style>
  <w:style w:type="paragraph" w:styleId="Bubbeltext">
    <w:name w:val="Balloon Text"/>
    <w:basedOn w:val="Normal"/>
    <w:link w:val="BubbeltextChar"/>
    <w:uiPriority w:val="99"/>
    <w:semiHidden/>
    <w:unhideWhenUsed/>
    <w:rsid w:val="00BC3B1A"/>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BC3B1A"/>
    <w:rPr>
      <w:rFonts w:ascii="Lucida Grande" w:hAnsi="Lucida Grande" w:cs="Lucida Grande"/>
      <w:sz w:val="18"/>
      <w:szCs w:val="18"/>
    </w:rPr>
  </w:style>
  <w:style w:type="paragraph" w:styleId="Revision">
    <w:name w:val="Revision"/>
    <w:hidden/>
    <w:uiPriority w:val="99"/>
    <w:semiHidden/>
    <w:rsid w:val="00CF3F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mmpartnership.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D3DC3-B02F-FC4D-8A38-87889B16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1837</Words>
  <Characters>9739</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Pernilla Malmer</cp:lastModifiedBy>
  <cp:revision>2</cp:revision>
  <dcterms:created xsi:type="dcterms:W3CDTF">2015-06-12T15:20:00Z</dcterms:created>
  <dcterms:modified xsi:type="dcterms:W3CDTF">2015-06-12T15:20:00Z</dcterms:modified>
</cp:coreProperties>
</file>